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2f9c" w14:textId="1cb2f9c">
      <w:pPr>
        <w:pStyle w:val="TitleStyle"/>
        <w15:collapsed w:val="false"/>
      </w:pPr>
      <w:r>
        <w:t>Podatek leśny.</w:t>
      </w:r>
    </w:p>
    <w:p>
      <w:pPr>
        <w:pStyle w:val="NormalStyle"/>
      </w:pPr>
      <w:r>
        <w:t>Dz.U.2002.200.1682 z dnia 2002.11.30</w:t>
      </w:r>
    </w:p>
    <w:p>
      <w:pPr>
        <w:pStyle w:val="NormalStyle"/>
      </w:pPr>
      <w:r>
        <w:t>Status: Akt obowiązujący, wersja archiwalna</w:t>
      </w:r>
    </w:p>
    <w:p>
      <w:pPr>
        <w:pStyle w:val="NormalStyle"/>
      </w:pPr>
      <w:r>
        <w:t>Wersja od: 1 stycznia 2011 r.  do: 16 kwietnia 2013 r.</w:t>
      </w:r>
    </w:p>
    <w:p>
      <w:pPr>
        <w:spacing w:before="587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36"/>
          <w:lang w:val="pl-Pl"/>
        </w:rPr>
        <w:t>USTAWA</w:t>
      </w: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30"/>
          <w:lang w:val="pl-Pl"/>
        </w:rPr>
        <w:t>z dnia 30 października 2002 r.</w:t>
      </w: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30"/>
          <w:lang w:val="pl-Pl"/>
        </w:rPr>
        <w:t>o podatku leśnym.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1.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[Przedmiot opodatkowania]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Opodatkowaniu podatkiem leśnym podlegają określone w ustawie lasy, z wyjątkiem lasów zajętych na wykonywanie innej działalności gospodarczej niż działalność leśna.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Lasem w rozumieniu ustawy są grunty leśne sklasyfikowane w ewidencji gruntów i budynków jako lasy.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 działalność leśną, w rozumieniu ustawy, uważa się działalność właścicieli, posiadaczy lub zarządców lasów w zakresie urządzania, ochrony i zagospodarowania lasu, utrzymywania i powiększania zasobów i upraw leśnych, gospodarowania zwierzyną, pozyskiwania - z wyjątkiem skupu - drewna, żywicy, choinek, karpiny, kory, igliwia, zwierzyny oraz płodów runa leśnego, a także sprzedaż tych produktów w stanie nieprzerobionym.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2.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[Definicja podatnika]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Podatnikami podatku leśnego, z zastrzeżeniem ust. 2, są osoby fizyczne, osoby prawne, jednostki organizacyjne, w tym spółki, nieposiadające osobowości prawnej, będące: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właścicielami lasów, z zastrzeżeniem ust. 3;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posiadaczami samoistnymi lasów;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użytkownikami wieczystymi lasów;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4)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posiadaczami lasów, stanowiących własność Skarbu Państwa lub jednostki samorządu terytorialnego.</w:t>
      </w:r>
    </w:p>
    <w:p>
      <w:pPr>
        <w:spacing w:after="0"/>
        <w:ind w:left="0"/>
        <w:jc w:val="left"/>
        <w:textAlignment w:val="auto"/>
      </w:pP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Obowiązek podatkowy w zakresie podatku leśnego od lasów pozostających w zarządzie Państwowego Gospodarstwa Leśnego Lasy Państwowe, zwanego dalej "Lasami Państwowymi", oraz wchodzących w skład Zasobu Własności Rolnej Skarbu Państwa, nieobjętych obowiązkiem podatkowym na podstawie ust. 1 pkt 4, ciąży odpowiednio na jednostkach organizacyjnych Agencji Własności Rolnej Skarbu Państwa i Lasów Państwowych.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las znajduje się w posiadaniu samoistnym, obowiązek podatkowy w zakresie podatku leśnego ciąży na posiadaczu samoistnym.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las jest współwłasnością lub znajduje się w posiadaniu dwóch lub więcej podmiotów, stanowi wówczas odrębny przedmiot opodatkowania podatkiem leśnym, a obowiązek podatkowy ciąży solidarnie na wszystkich współwłaścicielach lub posiadaczach.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3.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[Podstawa opodatkowania]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Podstawę opodatkowania podatkiem leśnym stanowi powierzchnia lasu, wyrażona w hektarach, wynikająca z ewidencji gruntów i budynków.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4.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[Wysokość podatku leśnego]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Podatek leśny od 1 ha, za rok podatkowy wynosi, z zastrzeżeniem ust. 3, równowartość pieniężną 0,220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drewna, obliczaną według średniej ceny sprzedaży drewna uzyskanej przez nadleśnictwa za pierwsze trzy kwartały roku poprzedzającego rok podatkowy.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ceny, o której mowa w ust. 1, nie wlicza się kwoty podatku od towarów i usług.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Dla lasów ochronnych oraz lasów wchodzących w skład rezerwatów przyrody i parków narodowych stawka podatku leśnego, o której mowa w ust. 1, ulega obniżeniu o 50%.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Średnią cenę sprzedaży drewna, o której mowa w ust. 1, ustala się na podstawie komunikatu Prezesa Głównego Urzędu Statystycznego, ogłaszanego w Dzienniku Urzędowym Rzeczypospolitej Polskiej "Monitor Polski" w terminie 20 dni po upływie trzeciego kwartału.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Rada gminy może obniżyć kwotę stanowiącą średnią cenę sprzedaży drewna, określoną w ust. 4, przyjmowaną jako podstawa obliczania podatku leśnego na obszarze gminy.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5.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[Obowiązek podatkowy]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Obowiązek podatkowy w zakresie podatku leśnego powstaje od pierwszego dnia miesiąca następującego po miesiącu, w którym zaistniały okoliczności uzasadniające powstanie tego obowiązku.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Obowiązek podatkowy wygasa ostatniego dnia miesiąca, w którym przestały istnieć okoliczności uzasadniające ten obowiązek.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obowiązek podatkowy powstał lub wygasł w trakcie roku podatkowego, podatek leśny za ten rok ustala się proporcjonalnie do liczby miesięcy, w których istniał obowiązek.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w trakcie roku podatkowego las został zajęty na wykonywanie działalności gospodarczej innej niż działalność leśna lub po zaprzestaniu wykonywania tej działalności przywrócono działalność leśną, albo z innych powodów jego powierzchnia uległa zmniejszeniu lub zwiększeniu - kwota należnego podatku leśnego ulega obniżeniu lub podwyższeniu, poczynając od pierwszego dnia miesiąca następującego po miesiącu, w którym nastąpiła ta zmiana.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6.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[Powstanie zobowiązania podatkowego]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Organem podatkowym właściwym w sprawach podatku leśnego jest wójt (burmistrz, prezydent miasta).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fizyczne, z zastrzeżeniem ust. 7, są obowiązane złożyć organowi podatkowemu, właściwemu ze względu na miejsce położenia lasu, informacje o lasach, sporządzone na formularzach według ustalonego wzoru, w terminie 14 dni od dnia zaistnienia okoliczności uzasadniających powstanie albo wygaśnięcie obowiązku w podatku leśnym, lub o zaistnieniu zmian, o których mowa w art. 5 ust. 4.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Podatek leśny na rok podatkowy od osób fizycznych, z zastrzeżeniem ust. 7, ustala, w drodze decyzji, organ podatkowy właściwy ze względu na miejsce położenia lasu. Podatek jest płatny w ratach proporcjonalnych do czasu trwania obowiązku podatkowego, w terminach do dnia 15 marca, 15 maja, 15 września i 15 listopada roku podatkowego.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w trakcie roku podatkowego nastąpiło wygaśnięcie obowiązku podatkowego w zakresie podatku leśnego lub zaistniały zmiany, o których mowa w art. 5 ust. 4, organ podatkowy dokonuje zmiany decyzji, którą ustalono ten podatek.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prawne, jednostki organizacyjne, w tym spółki, nieposiadające osobowości prawnej, jednostki organizacyjne Lasów Państwowych, a także jednostki organizacyjne Agencji Własności Rolnej Skarbu Państwa są obowiązane: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składać, w terminie do dnia 15 stycznia, organowi podatkowemu, właściwemu ze względu na miejsce położenia lasów, deklaracje na podatek leśny na dany rok podatkowy, sporządzone na formularzu według ustalonego wzoru, a jeżeli obowiązek podatkowy powstał po tym dniu - w terminie 14 dni od dnia wystąpienia okoliczności uzasadniających powstanie tego obowiązku;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odpowiednio skorygować deklaracje, w razie zaistnienia zmian, o których mowa w art. 5 ust. 4, w terminie 14 dni od dnia zaistnienia tych zmian;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wpłacać w ratach proporcjonalnych do czasu trwania obowiązku podatkowego obliczony w deklaracji podatek leśny na rachunek budżetu właściwej gminy, za poszczególne miesiące, do dnia 15 każdego miesiąca.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Obowiązek składania informacji o lasach oraz deklaracji na podatek leśny, o którym mowa w ust. 2 i 5 pkt 1, dotyczy również podatników korzystających ze zwolnień na mocy przepisów ustawy.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las stanowi współwłasność lub znajduje się w posiadaniu osób fizycznych oraz osób prawnych, jednostek organizacyjnych, w tym spółek, nieposiadających osobowości prawnej - osoby fizyczne składają deklarację na podatek leśny oraz opłacają podatek na zasadach obowiązujących osoby prawne.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Rada gminy, w drodze uchwały, może zarządzić pobór podatku leśnego od osób wymienionych w ust. 2 w drodze inkasa oraz wyznaczyć inkasentów i określić wysokość wynagrodzenia za inkaso.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Rada gminy określa, w drodze uchwały, wzory formularzy, o których mowa w ust. 2 i 5 pkt 1. W formularzach będą zawarte dane dotyczące podmiotu i przedmiotu opodatkowania niezbędne do wymiaru i poboru podatku leśnego.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Rada gminy może określić, w drodze uchwały, warunki i tryb składania informacji o lasach oraz deklaracji na podatek leśny za pomocą środków komunikacji elektronicznej, w szczególności: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1) 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ich format elektroniczny oraz układ informacji i powiązań między nimi zgodnie z przepisami o informatyzacji działalności podmiotów realizujących zadania publiczne;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sposób ich przesyłania za pomocą środków komunikacji elektronicznej;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rodzaje podpisu elektronicznego, którym powinny być opatrzone.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Rada gminy w uchwale, o której mowa w ust. 10, uwzględnia w szczególności: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zakres danych zawartych we wzorach określonych uchwałą rady gminy w sprawie wzorów informacji o lasach i deklaracji na podatek leśny oraz konieczność ich opatrzenia podpisem elektronicznym;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potrzebę zapewnienia bezpieczeństwa, wiarygodności i niezaprzeczalności danych zawartych w informacjach o lasach i deklaracjach na podatek leśny oraz potrzebę ich ochrony przed nieuprawnionym dostępem;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limity wysokości zobowiązania podatkowego, kwoty nadpłaty lub zwrotu podatku wynikające z deklaracji na podatek leśny, a także wymagania dla poszczególnych rodzajów podpisu elektronicznego określone w przepisach o podpisie elektronicznym, w szczególności dotyczące weryfikacji podpisu elektronicznego i znakowania czasem.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Poświadczenie przez organ podatkowy złożenia informacji o lasach lub deklaracji na podatek leśny za pomocą środków komunikacji elektronicznej odbywa się zgodnie z przepisami o informatyzacji działalności podmiotów realizujących zadania publiczne.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7.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[Zwolnienia od podatku leśnego]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Zwalnia się od podatku leśnego: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lasy z drzewostanem w wieku do 40 lat;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lasy wpisane indywidualnie do rejestru zabytków;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użytki ekologiczne.</w:t>
      </w:r>
    </w:p>
    <w:p>
      <w:pPr>
        <w:spacing w:after="0"/>
        <w:ind w:left="0"/>
        <w:jc w:val="left"/>
        <w:textAlignment w:val="auto"/>
      </w:pP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podatku leśnego zwalnia się również: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1) 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uczelnie;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2) 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publiczne i niepubliczne jednostki organizacyjne objęte systemem oświaty oraz prowadzące je organy, w zakresie lasów zajętych na działalność oświatową;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3) 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instytuty naukowe i pomocnicze jednostki naukowe Polskiej Akademii Nauk;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4) 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prowadzących zakłady pracy chronionej spełniające warunek,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28 ust. 1 pkt 1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sierpnia 1997 r. o rehabilitacji zawodowej i społecznej oraz zatrudnianiu osób niepełnosprawnych (Dz. U. z 2010 r. Nr 214, poz. 1407, Nr 217, poz. 1427 i Nr 226, poz. 1475), lub zakłady aktywności zawodowej w zakresie lasów wymienionych w decyzji w sprawie przyznania statusu zakładu pracy chronionej lub zakładu aktywności zawodowej lub zgłoszonych wojewodzie - zajętych na prowadzenie tego zakładu, z wyłączeniem lasów, które znajdują się w posiadaniu zależnym podmiotów niebędących prowadzącymi zakłady pracy chronionej spełniające warunek,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28 ust. 1 pkt 1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sierpnia 1997 r. o rehabilitacji zawodowej i społecznej oraz zatrudnianiu osób niepełnosprawnych lub zakłady aktywności zawodowej;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5) 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instytuty badawcze;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6) 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przedsiębiorców o statusie centrum badawczo-rozwojowego uzyskanym na zasadach określonych w przepisach o niektórych formach wspierania działalności innowacyjnej, w odniesieniu do przedmiotów opodatkowania zajętych na cele prowadzonych badań i prac rozwojowych.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Rada gminy, w drodze uchwały, może wprowadzić inne zwolnienia przedmiotowe niż określone w ust. 1, z uwzględnieniem przepisów dotyczących pomocy publicznej.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tytułu zwolnienia od podatku leśnego, o którym mowa w ust. 2 pkt 6, jednostkom samorządu terytorialnego przysługuje z budżetu państwa zwrot utraconych dochodów.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finansów publicznych określi, w drodze rozporządzenia, zasady i tryb zwrotu utraconych dochodów, o których mowa w ust. 4, kierując się potrzebą zabezpieczenia budżetów gmin przed utratą dochodów.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Zwolnienie od podatku leśnego, o którym mowa w ust. 2 pkt 6, stanowi pomoc de minimis,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Komisji (WE) nr 1998/2006 z dnia 15 grudnia 2006 r. w sprawie zastosowania art. 87 i 88 Traktatu do pomocy de minimis (Dz. Urz. UE L 379 z 28.12.2006).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8.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 ustawie z dnia 28 września 1991 r. o lasach (Dz. U. z 2000 r. Nr 56, poz. 679, Nr 86, poz. 958 i Nr 120, poz. 1268, z 2001 r. Nr 110, poz. 1189 i Nr 145, poz. 1623 oraz z 2002 r. Nr 25, poz. 253 i Nr 113, poz. 984) wprowadza się następujące zmiany: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uchyla się ust. 2;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uchyla się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rozdział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9.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ustawie z dnia 21 sierpnia 1997 r. o gospodarce nieruchomościami (Dz. U. z 2000 r. Nr 46, poz. 543, z 2001 r. Nr 129, poz. 1447 i Nr 154, poz. 1800 oraz z 2002 r. Nr 25, poz. 253, Nr 74, poz. 676, Nr 113, poz. 984, Nr 126, poz. 1070, Nr 130, poz. 1112 i Nr 153, poz. 1271)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otrzymuje brzmienie:</w:t>
      </w:r>
    </w:p>
    <w:p>
      <w:pPr>
        <w:spacing w:before="213" w:after="240"/>
        <w:ind w:left="53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"Art. 225. W okresie do dnia 31 grudnia 2005 r. funkcję wartości katastralnej dla gruntów rolnych pełni liczba hektarów przeliczeniowych, ustalana zgodnie z przepisami o podatku rolnym.".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10. </w:t>
      </w:r>
      <w:r>
        <w:rPr>
          <w:rFonts w:ascii="Times New Roman"/>
          <w:b/>
          <w:i w:val="false"/>
          <w:color w:val="000000"/>
          <w:sz w:val="20"/>
          <w:vertAlign w:val="superscript"/>
          <w:lang w:val="pl-Pl"/>
        </w:rPr>
        <w:t>15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11.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 stosunku do prowadzących zakłady pracy chronionej lub zakłady aktywności zawodowej, którzy uzyskali status prowadzących te zakłady przed wejściem w życie ustawy, zwolnienie z podatku leśnego stosuje się na zasadach dotychczasowych nie dłużej niż do upływu 3-letniego terminu wynikającego z decyzji wydanej przed dniem 1 stycznia 2003 r. przyznającej status prowadzącego zakład.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12.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Do ustalania wysokości podatku leśnego w 2003 r. stosuje się średnią cenę sprzedaży drewna ogłoszoną na podstawie przepisów dotychczasowych.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13.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Ustawa wchodzi w życie z dniem 1 stycznia 2003 r., z wyjątkiem art. 6 ust. 9, który wchodzi w życie z dniem ogłoszenia.</w:t>
      </w:r>
    </w:p>
    <w:p>
      <w:pPr>
        <w:spacing w:before="100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6 ust. 10 dodany przez art. 14 ustawy z dnia 30 czerwca 2005 r. o zmianie ustawy - Ordynacja podatkowa oraz o zmianie niektórych innych ustaw (Dz.U.05.143.1199) z dniem 16 sierpnia 2006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6 ust. 10 pkt 1 zmieniony przez art. 2 pkt 1 ustawy z dnia 16 listopada 2006 r. (Dz.U.06.249.1825) zmieniającej nin. ustawę z dniem 1 stycznia 2007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6 ust. 11 dodany przez art. 14 ustawy z dnia 30 czerwca 2005 r. o zmianie ustawy - Ordynacja podatkowa oraz o zmianie niektórych innych ustaw (Dz.U.05.143.1199) z dniem 16 sierpnia 2006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6 ust. 12: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art. 14 ustawy z dnia 30 czerwca 2005 r. o zmianie ustawy - Ordynacja podatkowa oraz o zmianie niektórych innych ustaw (Dz.U.05.143.1199) z dniem 16 sierpnia 2006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art. 2 pkt 2 ustawy z dnia 16 listopada 2006 r. (Dz.U.06.249.1825) zmieniającej nin. ustawę z dniem 1 stycznia 2007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7 ust. 2 pkt 1 zmieniony przez art. 247 ustawy z dnia 27 lipca 2005 r. - Prawo o szkolnictwie wyższym (Dz.U.05.164.1365) z dniem 1 września 2005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7 ust. 2 pkt 2 zmieniony przez art. 6 ustawy z dnia 19 marca 2009 r. o zmianie ustawy o systemie oświaty oraz o zmianie niektórych innych ustaw (Dz.U.09.56.458) z dniem 22 kwietnia 2009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7 ust. 2 pkt 3 zmieniony przez art. 23 pkt 1 ustawy z dnia 30 kwietnia 2010 r. - Przepisy wprowadzające ustawy reformujące system nauki (Dz.U.10.96.620) z dniem 1 października 2010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7 ust. 2 pkt 4 zmieniony przez art. 5 ustawy z dnia 29 października 2010 r. o zmianie ustawy o rehabilitacji zawodowej i społecznej oraz zatrudnianiu osób niepełnosprawnych oraz niektórych innych ustaw (Dz.U.10.226.1475) z dniem 1 stycznia 2011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7 ust. 2 pkt 5 zmieniony przez art. 23 pkt 2 ustawy z dnia 30 kwietnia 2010 r. - Przepisy wprowadzające ustawy reformujące system nauki (Dz.U.10.96.620) z dniem 1 października 2010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7 ust. 2 pkt 6: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art. 26 pkt 1 ustawy z dnia 29 lipca 2005 r. o niektórych formach wspierania działalności innowacyjnej (Dz.U.05.179.1484) z dniem 1 stycznia 2006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art. 26 pkt 1 ustawy z dnia 30 maja 2008 r. o niektórych formach wspierania działalności innowacyjnej (Dz.U.08.116.730) z dniem 17 lipca 2008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7 ust. 3 zmieniony przez art. 6 ustawy z dnia 7 grudnia 2006 r. o zmianie ustawy o postępowaniu w sprawach dotyczących pomocy publicznej i niektórych innych ustaw (Dz.U.06.245.1775) z dniem 12 stycznia 2007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7 ust. 4 dodany przez art. 26 pkt 2 ustawy z dnia 29 lipca 2005 r. o niektórych formach wspierania działalności innowacyjnej (Dz.U.05.179.1484) z dniem 1 stycznia 2006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7 ust. 5 dodany przez art. 26 pkt 2 ustawy z dnia 29 lipca 2005 r. o niektórych formach wspierania działalności innowacyjnej (Dz.U.05.179.1484) z dniem 1 stycznia 2006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7 ust. 6: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art. 26 pkt 2 ustawy z dnia 29 lipca 2005 r. o niektórych formach wspierania działalności innowacyjnej (Dz.U.05.179.1484) z dniem 1 stycznia 2006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art. 26 pkt 2 ustawy z dnia 30 maja 2008 r. o niektórych formach wspierania działalności innowacyjnej (Dz.U.08.116.730) z dniem 17 lipca 2008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10 uchylony przez art. 7 ustawy z dnia 23 listopada 2002 r. o zmianie ustawy o dochodach jednostek samorządu terytorialnego w latach 1999-2002 oraz niektórych innych ustaw (Dz.U.02.216.1826) z dniem 1 stycznia 2003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Open Sans" w:hAnsi="Open Sans" w:eastAsia="Open Sans" w:cs="Open Sans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Open Sans" w:hAnsi="Open Sans" w:eastAsia="Open Sans" w:cs="Open Sans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jc w:val="center"/>
    </w:pPr>
    <w:rPr>
      <w:rFonts w:ascii="Open Sans" w:hAnsi="Open Sans" w:eastAsia="Open Sans" w:cs="Open Sans"/>
      <w:b/>
      <w:color w:val="000000" w:themeColor="text1"/>
      <w:sz w:val="42"/>
    </w:rPr>
  </w:style>
  <w:style w:type="paragraph" w:styleId="TitleStyle">
    <w:name w:val="TitleStyle"/>
    <w:pPr>
      <w:spacing w:line="240" w:lineRule="auto"/>
      <w:jc w:val="left"/>
    </w:pPr>
    <w:rPr>
      <w:rFonts w:ascii="Open Sans" w:hAnsi="Open Sans" w:eastAsia="Open Sans" w:cs="Open Sans"/>
      <w:b/>
      <w:color w:val="000000" w:themeColor="text1"/>
      <w:sz w:val="32"/>
    </w:rPr>
  </w:style>
  <w:style w:type="paragraph" w:styleId="TitleCenterStyle">
    <w:name w:val="TitleCenterStyle"/>
    <w:pPr>
      <w:spacing w:line="240" w:lineRule="auto"/>
      <w:jc w:val="center"/>
    </w:pPr>
    <w:rPr>
      <w:rFonts w:ascii="Open Sans" w:hAnsi="Open Sans" w:eastAsia="Open Sans" w:cs="Open Sans"/>
      <w:b/>
      <w:color w:val="000000" w:themeColor="text1"/>
      <w:sz w:val="32"/>
    </w:rPr>
  </w:style>
  <w:style w:type="paragraph" w:styleId="NormalStyle">
    <w:name w:val="NormalStyle"/>
    <w:pPr>
      <w:spacing w:after="0" w:line="240" w:lineRule="auto"/>
      <w:jc w:val="left"/>
    </w:pPr>
    <w:rPr>
      <w:rFonts w:ascii="Open Sans" w:hAnsi="Open Sans" w:eastAsia="Open Sans" w:cs="Open Sans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Open Sans" w:hAnsi="Open Sans" w:eastAsia="Open Sans" w:cs="Open Sans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Open Sans" w:hAnsi="Open Sans" w:eastAsia="Open Sans" w:cs="Open Sans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Open Sans" w:hAnsi="Open Sans" w:eastAsia="Open Sans" w:cs="Open Sans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